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6A8" w:rsidRPr="009C32D7" w:rsidRDefault="005A56A8" w:rsidP="005A56A8">
      <w:pPr>
        <w:shd w:val="clear" w:color="auto" w:fill="FFFFFF" w:themeFill="background1"/>
        <w:spacing w:before="140"/>
        <w:jc w:val="both"/>
        <w:rPr>
          <w:rFonts w:ascii="Arial" w:hAnsi="Arial" w:cs="Arial"/>
          <w:sz w:val="22"/>
          <w:szCs w:val="22"/>
        </w:rPr>
      </w:pPr>
      <w:bookmarkStart w:id="0" w:name="_GoBack"/>
      <w:bookmarkEnd w:id="0"/>
    </w:p>
    <w:p w:rsidR="005A56A8" w:rsidRPr="009C32D7" w:rsidRDefault="005A56A8" w:rsidP="005A56A8">
      <w:pPr>
        <w:pStyle w:val="Textoindependiente"/>
        <w:shd w:val="clear" w:color="auto" w:fill="FFFFFF" w:themeFill="background1"/>
        <w:spacing w:before="120" w:after="0"/>
        <w:ind w:left="794" w:hanging="794"/>
        <w:jc w:val="both"/>
        <w:rPr>
          <w:rFonts w:ascii="Arial" w:hAnsi="Arial" w:cs="Arial"/>
          <w:sz w:val="22"/>
          <w:szCs w:val="22"/>
        </w:rPr>
      </w:pPr>
      <w:r w:rsidRPr="009C32D7">
        <w:rPr>
          <w:rFonts w:ascii="Arial" w:hAnsi="Arial" w:cs="Arial"/>
          <w:b/>
          <w:sz w:val="22"/>
          <w:szCs w:val="22"/>
        </w:rPr>
        <w:t>3.17</w:t>
      </w:r>
      <w:r w:rsidRPr="009C32D7">
        <w:rPr>
          <w:rFonts w:ascii="Arial" w:hAnsi="Arial" w:cs="Arial"/>
          <w:sz w:val="22"/>
          <w:szCs w:val="22"/>
        </w:rPr>
        <w:tab/>
      </w:r>
      <w:r w:rsidRPr="009C32D7">
        <w:rPr>
          <w:rFonts w:ascii="Arial Negrita" w:hAnsi="Arial Negrita" w:cs="Arial"/>
          <w:b/>
          <w:smallCaps/>
          <w:sz w:val="22"/>
          <w:szCs w:val="22"/>
        </w:rPr>
        <w:t>Garantía de Cumplimiento de Contrato</w:t>
      </w:r>
    </w:p>
    <w:p w:rsidR="005A56A8" w:rsidRPr="009C32D7" w:rsidRDefault="005A56A8" w:rsidP="005A56A8">
      <w:pPr>
        <w:pStyle w:val="Textoindependiente"/>
        <w:shd w:val="clear" w:color="auto" w:fill="FFFFFF" w:themeFill="background1"/>
        <w:spacing w:before="200" w:after="0"/>
        <w:ind w:left="794" w:hanging="794"/>
        <w:jc w:val="both"/>
        <w:rPr>
          <w:rFonts w:ascii="Arial" w:hAnsi="Arial" w:cs="Arial"/>
          <w:sz w:val="22"/>
          <w:szCs w:val="22"/>
        </w:rPr>
      </w:pPr>
      <w:r w:rsidRPr="009C32D7">
        <w:rPr>
          <w:rFonts w:ascii="Arial" w:hAnsi="Arial" w:cs="Arial"/>
          <w:b/>
          <w:sz w:val="22"/>
          <w:szCs w:val="22"/>
        </w:rPr>
        <w:t>3.17.1</w:t>
      </w:r>
      <w:r w:rsidRPr="009C32D7">
        <w:rPr>
          <w:rFonts w:ascii="Arial" w:hAnsi="Arial" w:cs="Arial"/>
          <w:sz w:val="22"/>
          <w:szCs w:val="22"/>
        </w:rPr>
        <w:tab/>
      </w:r>
      <w:r w:rsidRPr="009C32D7">
        <w:rPr>
          <w:rFonts w:ascii="Arial Negrita" w:hAnsi="Arial Negrita" w:cs="Arial"/>
          <w:b/>
          <w:smallCaps/>
          <w:sz w:val="22"/>
          <w:szCs w:val="22"/>
        </w:rPr>
        <w:t xml:space="preserve">Entrega de la Garantía de Cumplimiento </w:t>
      </w:r>
    </w:p>
    <w:p w:rsidR="005A56A8" w:rsidRPr="009C32D7" w:rsidRDefault="005A56A8" w:rsidP="005A56A8">
      <w:pPr>
        <w:shd w:val="clear" w:color="auto" w:fill="FFFFFF" w:themeFill="background1"/>
        <w:spacing w:before="180" w:after="180"/>
        <w:jc w:val="both"/>
        <w:rPr>
          <w:rFonts w:ascii="Arial" w:hAnsi="Arial" w:cs="Arial"/>
          <w:sz w:val="22"/>
          <w:szCs w:val="22"/>
        </w:rPr>
      </w:pPr>
      <w:r w:rsidRPr="009C32D7">
        <w:rPr>
          <w:rFonts w:ascii="Arial" w:hAnsi="Arial" w:cs="Arial"/>
          <w:sz w:val="22"/>
          <w:szCs w:val="22"/>
        </w:rPr>
        <w:t>El licitante adjudicado, a fin de garantizar el cumplimiento de las obligaciones derivadas del Contrato, deberá entregar una garantía de cumplimiento por cada contrato la cual contará con una vigencia de 24 meses contados a partir de la entrega de los bienes en las instalaciones del ISSSTE.</w:t>
      </w:r>
    </w:p>
    <w:p w:rsidR="005A56A8" w:rsidRPr="009C32D7" w:rsidRDefault="005A56A8" w:rsidP="005A56A8">
      <w:pPr>
        <w:jc w:val="both"/>
        <w:rPr>
          <w:rFonts w:ascii="Arial" w:hAnsi="Arial" w:cs="Arial"/>
          <w:sz w:val="22"/>
          <w:szCs w:val="22"/>
        </w:rPr>
      </w:pPr>
      <w:r w:rsidRPr="009C32D7">
        <w:rPr>
          <w:rFonts w:ascii="Arial" w:hAnsi="Arial" w:cs="Arial"/>
          <w:sz w:val="22"/>
          <w:szCs w:val="22"/>
        </w:rPr>
        <w:t>La garantía deberá constituirse por el 10% (diez por ciento) del monto máximo total del contrato sin considerar el I.V.A. y deberá presentarse a más tardar dentro de los 10 días siguientes a la fecha de formalización del contrato, para lo cual deberá constituir la fianza correspondiente, expedida por afianzadora debidamente constituida en términos de la Ley Federal de Instituciones de Fianzas, a favor del ISSSTE.</w:t>
      </w:r>
    </w:p>
    <w:p w:rsidR="005A56A8" w:rsidRPr="009C32D7" w:rsidRDefault="005A56A8" w:rsidP="005A56A8">
      <w:pPr>
        <w:jc w:val="both"/>
        <w:rPr>
          <w:rFonts w:ascii="Arial" w:hAnsi="Arial" w:cs="Arial"/>
          <w:sz w:val="22"/>
          <w:szCs w:val="22"/>
        </w:rPr>
      </w:pPr>
    </w:p>
    <w:p w:rsidR="005A56A8" w:rsidRPr="009C32D7" w:rsidRDefault="005A56A8" w:rsidP="005A56A8">
      <w:pPr>
        <w:jc w:val="both"/>
        <w:rPr>
          <w:rFonts w:ascii="Arial" w:hAnsi="Arial" w:cs="Arial"/>
          <w:sz w:val="22"/>
          <w:szCs w:val="22"/>
        </w:rPr>
      </w:pPr>
      <w:r w:rsidRPr="009C32D7">
        <w:rPr>
          <w:rFonts w:ascii="Arial" w:hAnsi="Arial" w:cs="Arial"/>
          <w:sz w:val="22"/>
          <w:szCs w:val="22"/>
        </w:rPr>
        <w:t xml:space="preserve">La garantía deberá ser entregada en el </w:t>
      </w:r>
      <w:r w:rsidRPr="009C32D7">
        <w:rPr>
          <w:rFonts w:ascii="Arial" w:hAnsi="Arial" w:cs="Arial"/>
          <w:b/>
          <w:sz w:val="22"/>
          <w:szCs w:val="22"/>
        </w:rPr>
        <w:t>Departamento de Formalización y Seguimiento de Contratos</w:t>
      </w:r>
      <w:r w:rsidRPr="009C32D7">
        <w:rPr>
          <w:rFonts w:ascii="Arial" w:hAnsi="Arial" w:cs="Arial"/>
          <w:sz w:val="22"/>
          <w:szCs w:val="22"/>
        </w:rPr>
        <w:t xml:space="preserve"> de la Jefatura de Servicios de Adquisición de M</w:t>
      </w:r>
      <w:r>
        <w:rPr>
          <w:rFonts w:ascii="Arial" w:hAnsi="Arial" w:cs="Arial"/>
          <w:sz w:val="22"/>
          <w:szCs w:val="22"/>
        </w:rPr>
        <w:t>edicamentos</w:t>
      </w:r>
      <w:r w:rsidRPr="009C32D7">
        <w:rPr>
          <w:rFonts w:ascii="Arial" w:hAnsi="Arial" w:cs="Arial"/>
          <w:sz w:val="22"/>
          <w:szCs w:val="22"/>
        </w:rPr>
        <w:t xml:space="preserve">, ubicado en Callejón Vía San Fernando #12, </w:t>
      </w:r>
      <w:r>
        <w:rPr>
          <w:rFonts w:ascii="Arial" w:hAnsi="Arial" w:cs="Arial"/>
          <w:sz w:val="22"/>
          <w:szCs w:val="22"/>
        </w:rPr>
        <w:t>tercer</w:t>
      </w:r>
      <w:r w:rsidRPr="009C32D7">
        <w:rPr>
          <w:rFonts w:ascii="Arial" w:hAnsi="Arial" w:cs="Arial"/>
          <w:sz w:val="22"/>
          <w:szCs w:val="22"/>
        </w:rPr>
        <w:t xml:space="preserve"> piso, Col. Barrio de San Fernando, C.P. 14070, Delegación Tlalpan, México, D.F.</w:t>
      </w:r>
    </w:p>
    <w:p w:rsidR="005A56A8" w:rsidRPr="009C32D7" w:rsidRDefault="005A56A8" w:rsidP="005A56A8">
      <w:pPr>
        <w:jc w:val="both"/>
        <w:rPr>
          <w:rFonts w:ascii="Arial" w:hAnsi="Arial" w:cs="Arial"/>
          <w:sz w:val="22"/>
          <w:szCs w:val="22"/>
        </w:rPr>
      </w:pPr>
    </w:p>
    <w:p w:rsidR="005A56A8" w:rsidRPr="009C32D7" w:rsidRDefault="005A56A8" w:rsidP="005A56A8">
      <w:pPr>
        <w:jc w:val="both"/>
        <w:rPr>
          <w:rFonts w:ascii="Arial" w:hAnsi="Arial" w:cs="Arial"/>
          <w:sz w:val="22"/>
          <w:szCs w:val="22"/>
        </w:rPr>
      </w:pPr>
      <w:r w:rsidRPr="009C32D7">
        <w:rPr>
          <w:rFonts w:ascii="Arial" w:eastAsiaTheme="minorHAnsi" w:hAnsi="Arial" w:cs="Arial"/>
          <w:sz w:val="22"/>
          <w:szCs w:val="22"/>
          <w:lang w:val="es-MX" w:eastAsia="ar-SA"/>
        </w:rPr>
        <w:t>En los casos que al contrato  se le realice alguna modificación en cuanto monto, plazo o vigencia, la garantía de cumplimiento deberá ajustarse.</w:t>
      </w:r>
    </w:p>
    <w:p w:rsidR="005A56A8" w:rsidRPr="009C32D7" w:rsidRDefault="005A56A8" w:rsidP="005A56A8">
      <w:pPr>
        <w:jc w:val="both"/>
        <w:rPr>
          <w:rFonts w:ascii="Arial" w:hAnsi="Arial" w:cs="Arial"/>
          <w:sz w:val="22"/>
          <w:szCs w:val="22"/>
        </w:rPr>
      </w:pPr>
    </w:p>
    <w:p w:rsidR="005A56A8" w:rsidRPr="009C32D7" w:rsidRDefault="005A56A8" w:rsidP="005A56A8">
      <w:pPr>
        <w:pStyle w:val="Textoindependiente"/>
        <w:shd w:val="clear" w:color="auto" w:fill="FFFFFF" w:themeFill="background1"/>
        <w:spacing w:before="200" w:after="0"/>
        <w:ind w:left="794" w:hanging="794"/>
        <w:jc w:val="both"/>
        <w:rPr>
          <w:rFonts w:ascii="Arial" w:hAnsi="Arial" w:cs="Arial"/>
          <w:sz w:val="22"/>
          <w:szCs w:val="22"/>
        </w:rPr>
      </w:pPr>
      <w:r w:rsidRPr="009C32D7">
        <w:rPr>
          <w:rFonts w:ascii="Arial" w:hAnsi="Arial" w:cs="Arial"/>
          <w:b/>
          <w:sz w:val="22"/>
          <w:szCs w:val="22"/>
        </w:rPr>
        <w:t>3.17.2</w:t>
      </w:r>
      <w:r w:rsidRPr="009C32D7">
        <w:rPr>
          <w:rFonts w:ascii="Arial" w:hAnsi="Arial" w:cs="Arial"/>
          <w:sz w:val="22"/>
          <w:szCs w:val="22"/>
        </w:rPr>
        <w:tab/>
      </w:r>
      <w:r w:rsidRPr="009C32D7">
        <w:rPr>
          <w:rFonts w:ascii="Arial Negrita" w:hAnsi="Arial Negrita" w:cs="Arial"/>
          <w:b/>
          <w:smallCaps/>
          <w:sz w:val="22"/>
          <w:szCs w:val="22"/>
        </w:rPr>
        <w:t>La póliza de fianza deberá contener, además de las cláusulas que la Ley Federal de Instituciones de Fianzas establezca, lo siguiente</w:t>
      </w:r>
      <w:r w:rsidRPr="009C32D7">
        <w:rPr>
          <w:rFonts w:ascii="Arial" w:hAnsi="Arial" w:cs="Arial"/>
          <w:b/>
          <w:sz w:val="22"/>
          <w:szCs w:val="22"/>
        </w:rPr>
        <w:t>:</w:t>
      </w:r>
    </w:p>
    <w:p w:rsidR="005A56A8" w:rsidRPr="009C32D7" w:rsidRDefault="005A56A8" w:rsidP="005A56A8">
      <w:pPr>
        <w:shd w:val="clear" w:color="auto" w:fill="FFFFFF" w:themeFill="background1"/>
        <w:jc w:val="both"/>
        <w:rPr>
          <w:rFonts w:ascii="Arial" w:hAnsi="Arial" w:cs="Arial"/>
          <w:sz w:val="22"/>
          <w:szCs w:val="22"/>
        </w:rPr>
      </w:pPr>
    </w:p>
    <w:p w:rsidR="005A56A8" w:rsidRPr="009C32D7" w:rsidRDefault="005A56A8" w:rsidP="005A56A8">
      <w:pPr>
        <w:shd w:val="clear" w:color="auto" w:fill="FFFFFF" w:themeFill="background1"/>
        <w:jc w:val="both"/>
        <w:rPr>
          <w:rFonts w:ascii="Arial" w:hAnsi="Arial" w:cs="Arial"/>
          <w:sz w:val="22"/>
          <w:szCs w:val="22"/>
        </w:rPr>
      </w:pPr>
      <w:r w:rsidRPr="009C32D7">
        <w:rPr>
          <w:rFonts w:ascii="Arial" w:hAnsi="Arial" w:cs="Arial"/>
          <w:sz w:val="22"/>
          <w:szCs w:val="22"/>
        </w:rPr>
        <w:t>Que la afianzadora (</w:t>
      </w:r>
      <w:r w:rsidRPr="009C32D7">
        <w:rPr>
          <w:rFonts w:ascii="Arial" w:hAnsi="Arial" w:cs="Arial"/>
          <w:sz w:val="22"/>
          <w:szCs w:val="22"/>
          <w:u w:val="single"/>
        </w:rPr>
        <w:t>nombre de la afianzadora</w:t>
      </w:r>
      <w:r w:rsidRPr="009C32D7">
        <w:rPr>
          <w:rFonts w:ascii="Arial" w:hAnsi="Arial" w:cs="Arial"/>
          <w:sz w:val="22"/>
          <w:szCs w:val="22"/>
        </w:rPr>
        <w:t>), en ejercicio de la autorización que le otorgó el Gobierno Federal, por conducto de la Secretaría de Hacienda y Crédito Público, en los convocatoria de los artículos 5o. y 6o. de la Ley Federal de Instituciones de Fianzas, se constituye fiadora por la suma de (monto de la fianza).</w:t>
      </w:r>
    </w:p>
    <w:p w:rsidR="005A56A8" w:rsidRPr="009C32D7" w:rsidRDefault="005A56A8" w:rsidP="005A56A8">
      <w:pPr>
        <w:shd w:val="clear" w:color="auto" w:fill="FFFFFF" w:themeFill="background1"/>
        <w:spacing w:before="140" w:after="140"/>
        <w:jc w:val="both"/>
        <w:rPr>
          <w:rFonts w:ascii="Arial" w:hAnsi="Arial" w:cs="Arial"/>
          <w:sz w:val="22"/>
          <w:szCs w:val="22"/>
        </w:rPr>
      </w:pPr>
      <w:r w:rsidRPr="009C32D7">
        <w:rPr>
          <w:rFonts w:ascii="Arial" w:hAnsi="Arial" w:cs="Arial"/>
          <w:sz w:val="22"/>
          <w:szCs w:val="22"/>
        </w:rPr>
        <w:t>Ante el Instituto de Seguridad y Servicios Sociales de los Trabajadores del Estado, la presente fianza se otorga para garantizar por (</w:t>
      </w:r>
      <w:r w:rsidRPr="009C32D7">
        <w:rPr>
          <w:rFonts w:ascii="Arial" w:hAnsi="Arial" w:cs="Arial"/>
          <w:sz w:val="22"/>
          <w:szCs w:val="22"/>
          <w:u w:val="single"/>
        </w:rPr>
        <w:t>nombre del proveedor</w:t>
      </w:r>
      <w:r w:rsidRPr="009C32D7">
        <w:rPr>
          <w:rFonts w:ascii="Arial" w:hAnsi="Arial" w:cs="Arial"/>
          <w:sz w:val="22"/>
          <w:szCs w:val="22"/>
        </w:rPr>
        <w:t>) con Registro Federal de Contribuyentes (</w:t>
      </w:r>
      <w:r w:rsidRPr="009C32D7">
        <w:rPr>
          <w:rFonts w:ascii="Arial" w:hAnsi="Arial" w:cs="Arial"/>
          <w:sz w:val="22"/>
          <w:szCs w:val="22"/>
          <w:u w:val="single"/>
        </w:rPr>
        <w:t>número de cédula de la empresa</w:t>
      </w:r>
      <w:r w:rsidRPr="009C32D7">
        <w:rPr>
          <w:rFonts w:ascii="Arial" w:hAnsi="Arial" w:cs="Arial"/>
          <w:sz w:val="22"/>
          <w:szCs w:val="22"/>
        </w:rPr>
        <w:t>), y con domicilio en (</w:t>
      </w:r>
      <w:r w:rsidRPr="009C32D7">
        <w:rPr>
          <w:rFonts w:ascii="Arial" w:hAnsi="Arial" w:cs="Arial"/>
          <w:sz w:val="22"/>
          <w:szCs w:val="22"/>
          <w:u w:val="single"/>
        </w:rPr>
        <w:t>domicilio fiscal de la empresa</w:t>
      </w:r>
      <w:r w:rsidRPr="009C32D7">
        <w:rPr>
          <w:rFonts w:ascii="Arial" w:hAnsi="Arial" w:cs="Arial"/>
          <w:sz w:val="22"/>
          <w:szCs w:val="22"/>
        </w:rPr>
        <w:t>), todas y cada una de las obligaciones contenidas en el contrato (</w:t>
      </w:r>
      <w:r w:rsidRPr="009C32D7">
        <w:rPr>
          <w:rFonts w:ascii="Arial" w:hAnsi="Arial" w:cs="Arial"/>
          <w:sz w:val="22"/>
          <w:szCs w:val="22"/>
          <w:u w:val="single"/>
        </w:rPr>
        <w:t>número de contrato y fecha</w:t>
      </w:r>
      <w:r w:rsidRPr="009C32D7">
        <w:rPr>
          <w:rFonts w:ascii="Arial" w:hAnsi="Arial" w:cs="Arial"/>
          <w:sz w:val="22"/>
          <w:szCs w:val="22"/>
        </w:rPr>
        <w:t>) correspondiente a la (</w:t>
      </w:r>
      <w:r w:rsidRPr="009C32D7">
        <w:rPr>
          <w:rFonts w:ascii="Arial" w:hAnsi="Arial" w:cs="Arial"/>
          <w:sz w:val="22"/>
          <w:szCs w:val="22"/>
          <w:u w:val="single"/>
        </w:rPr>
        <w:t>adjudicación</w:t>
      </w:r>
      <w:r w:rsidRPr="009C32D7">
        <w:rPr>
          <w:rFonts w:ascii="Arial" w:hAnsi="Arial" w:cs="Arial"/>
          <w:sz w:val="22"/>
          <w:szCs w:val="22"/>
        </w:rPr>
        <w:t>), celebrado con el Instituto de Seguridad y Servicios Sociales de los Trabajadores del Estado, relativo a la adquisición de (</w:t>
      </w:r>
      <w:r w:rsidRPr="009C32D7">
        <w:rPr>
          <w:rFonts w:ascii="Arial" w:hAnsi="Arial" w:cs="Arial"/>
          <w:sz w:val="22"/>
          <w:szCs w:val="22"/>
          <w:u w:val="single"/>
        </w:rPr>
        <w:t>tipo de bienes</w:t>
      </w:r>
      <w:r w:rsidRPr="009C32D7">
        <w:rPr>
          <w:rFonts w:ascii="Arial" w:hAnsi="Arial" w:cs="Arial"/>
          <w:sz w:val="22"/>
          <w:szCs w:val="22"/>
        </w:rPr>
        <w:t>), por un importe de (</w:t>
      </w:r>
      <w:r w:rsidRPr="009C32D7">
        <w:rPr>
          <w:rFonts w:ascii="Arial" w:hAnsi="Arial" w:cs="Arial"/>
          <w:sz w:val="22"/>
          <w:szCs w:val="22"/>
          <w:u w:val="single"/>
        </w:rPr>
        <w:t>monto máximo total del contrato sin considerar el IVA</w:t>
      </w:r>
      <w:r w:rsidRPr="009C32D7">
        <w:rPr>
          <w:rFonts w:ascii="Arial" w:hAnsi="Arial" w:cs="Arial"/>
          <w:sz w:val="22"/>
          <w:szCs w:val="22"/>
        </w:rPr>
        <w:t>).</w:t>
      </w:r>
    </w:p>
    <w:p w:rsidR="005A56A8" w:rsidRPr="009C32D7" w:rsidRDefault="005A56A8" w:rsidP="005A56A8">
      <w:pPr>
        <w:shd w:val="clear" w:color="auto" w:fill="FFFFFF" w:themeFill="background1"/>
        <w:spacing w:before="140" w:after="140"/>
        <w:jc w:val="both"/>
        <w:rPr>
          <w:rFonts w:ascii="Arial" w:hAnsi="Arial" w:cs="Arial"/>
          <w:sz w:val="22"/>
          <w:szCs w:val="22"/>
        </w:rPr>
      </w:pPr>
      <w:r w:rsidRPr="009C32D7">
        <w:rPr>
          <w:rFonts w:ascii="Arial" w:hAnsi="Arial" w:cs="Arial"/>
          <w:sz w:val="22"/>
          <w:szCs w:val="22"/>
        </w:rPr>
        <w:t>La afianzadora (</w:t>
      </w:r>
      <w:r w:rsidRPr="009C32D7">
        <w:rPr>
          <w:rFonts w:ascii="Arial" w:hAnsi="Arial" w:cs="Arial"/>
          <w:sz w:val="22"/>
          <w:szCs w:val="22"/>
          <w:u w:val="single"/>
        </w:rPr>
        <w:t>nombre de la afianzadora</w:t>
      </w:r>
      <w:r w:rsidRPr="009C32D7">
        <w:rPr>
          <w:rFonts w:ascii="Arial" w:hAnsi="Arial" w:cs="Arial"/>
          <w:sz w:val="22"/>
          <w:szCs w:val="22"/>
        </w:rPr>
        <w:t xml:space="preserve">) acepta expresamente: </w:t>
      </w:r>
    </w:p>
    <w:p w:rsidR="005A56A8" w:rsidRPr="009C32D7" w:rsidRDefault="005A56A8" w:rsidP="005A56A8">
      <w:pPr>
        <w:shd w:val="clear" w:color="auto" w:fill="FFFFFF" w:themeFill="background1"/>
        <w:spacing w:before="140" w:after="140"/>
        <w:jc w:val="both"/>
        <w:rPr>
          <w:rFonts w:ascii="Arial" w:hAnsi="Arial" w:cs="Arial"/>
          <w:sz w:val="22"/>
          <w:szCs w:val="22"/>
        </w:rPr>
      </w:pPr>
      <w:r w:rsidRPr="009C32D7">
        <w:rPr>
          <w:rFonts w:ascii="Arial" w:hAnsi="Arial" w:cs="Arial"/>
          <w:sz w:val="22"/>
          <w:szCs w:val="22"/>
        </w:rPr>
        <w:t>Que la fianza se otorga para garantizar todas y cada una de las estipulaciones contenidas en el contrato derivado de la licitación Pública (</w:t>
      </w:r>
      <w:r w:rsidRPr="009C32D7">
        <w:rPr>
          <w:rFonts w:ascii="Arial" w:hAnsi="Arial" w:cs="Arial"/>
          <w:sz w:val="22"/>
          <w:szCs w:val="22"/>
          <w:u w:val="single"/>
        </w:rPr>
        <w:t>Nombre completo y número asignado por Compranet</w:t>
      </w:r>
      <w:r w:rsidRPr="009C32D7">
        <w:rPr>
          <w:rFonts w:ascii="Arial" w:hAnsi="Arial" w:cs="Arial"/>
          <w:sz w:val="22"/>
          <w:szCs w:val="22"/>
        </w:rPr>
        <w:t>),  con motivo de la suscripción del contrato (</w:t>
      </w:r>
      <w:r w:rsidRPr="009C32D7">
        <w:rPr>
          <w:rFonts w:ascii="Arial" w:hAnsi="Arial" w:cs="Arial"/>
          <w:sz w:val="22"/>
          <w:szCs w:val="22"/>
          <w:u w:val="single"/>
        </w:rPr>
        <w:t>número y fecha</w:t>
      </w:r>
      <w:r w:rsidRPr="009C32D7">
        <w:rPr>
          <w:rFonts w:ascii="Arial" w:hAnsi="Arial" w:cs="Arial"/>
          <w:sz w:val="22"/>
          <w:szCs w:val="22"/>
        </w:rPr>
        <w:t>).</w:t>
      </w:r>
    </w:p>
    <w:p w:rsidR="005A56A8" w:rsidRPr="009C32D7" w:rsidRDefault="005A56A8" w:rsidP="005A56A8">
      <w:pPr>
        <w:shd w:val="clear" w:color="auto" w:fill="FFFFFF" w:themeFill="background1"/>
        <w:spacing w:before="140" w:after="140"/>
        <w:jc w:val="both"/>
        <w:rPr>
          <w:rFonts w:ascii="Arial" w:hAnsi="Arial" w:cs="Arial"/>
          <w:sz w:val="22"/>
          <w:szCs w:val="22"/>
        </w:rPr>
      </w:pPr>
      <w:r w:rsidRPr="009C32D7">
        <w:rPr>
          <w:rFonts w:ascii="Arial" w:hAnsi="Arial" w:cs="Arial"/>
          <w:sz w:val="22"/>
          <w:szCs w:val="22"/>
        </w:rPr>
        <w:t>Que la fianza para ser liberada requerirá contar con la constancia de cumplimiento total de las obligaciones contractuales y la conformidad previa, expresa y por escrito del Instituto de Seguridad y Servicios Sociales de los Trabajadores del Estado.</w:t>
      </w:r>
    </w:p>
    <w:p w:rsidR="005A56A8" w:rsidRPr="009C32D7" w:rsidRDefault="005A56A8" w:rsidP="005A56A8">
      <w:pPr>
        <w:shd w:val="clear" w:color="auto" w:fill="FFFFFF" w:themeFill="background1"/>
        <w:spacing w:before="140" w:after="140"/>
        <w:jc w:val="both"/>
        <w:rPr>
          <w:rFonts w:ascii="Arial" w:hAnsi="Arial" w:cs="Arial"/>
          <w:sz w:val="22"/>
          <w:szCs w:val="22"/>
        </w:rPr>
      </w:pPr>
      <w:r w:rsidRPr="009C32D7">
        <w:rPr>
          <w:rFonts w:ascii="Arial" w:hAnsi="Arial" w:cs="Arial"/>
          <w:sz w:val="22"/>
          <w:szCs w:val="22"/>
        </w:rPr>
        <w:t>Que la fianza permanecerá vigente durante el cumplimiento de la obligación que garantice y continuará vigente en caso de que se otorgue prórroga al cumplimiento del contrato, así como durante la substanciación de todos los recursos legales o de los juicios que se interpongan y hasta que se dicte resolución definitiva que quede firme, por la autoridad competente.</w:t>
      </w:r>
    </w:p>
    <w:p w:rsidR="005A56A8" w:rsidRPr="009C32D7" w:rsidRDefault="005A56A8" w:rsidP="005A56A8">
      <w:pPr>
        <w:shd w:val="clear" w:color="auto" w:fill="FFFFFF" w:themeFill="background1"/>
        <w:spacing w:before="180" w:after="180"/>
        <w:jc w:val="both"/>
        <w:rPr>
          <w:rFonts w:ascii="Arial" w:hAnsi="Arial" w:cs="Arial"/>
          <w:sz w:val="22"/>
          <w:szCs w:val="22"/>
        </w:rPr>
      </w:pPr>
      <w:r w:rsidRPr="009C32D7">
        <w:rPr>
          <w:rFonts w:ascii="Arial" w:hAnsi="Arial" w:cs="Arial"/>
          <w:sz w:val="22"/>
          <w:szCs w:val="22"/>
        </w:rPr>
        <w:lastRenderedPageBreak/>
        <w:t>Someterse a los procedimientos de ejecución previstos en la Ley Federal de Instituciones de Fianzas para la efectividad de la fianza, aún para el caso de que proceda el cobro de indemnización por mora, con motivo del pago extemporáneo del importe de la fianza requerida, que otorga su consentimiento en lo referente al artículo 119 de la misma Ley; o bien a través del artículo 63 de la Ley de Protección y Defensa de los Usuarios de los Servicios Financieros.</w:t>
      </w:r>
    </w:p>
    <w:p w:rsidR="005A56A8" w:rsidRPr="009C32D7" w:rsidRDefault="005A56A8" w:rsidP="005A56A8">
      <w:pPr>
        <w:shd w:val="clear" w:color="auto" w:fill="FFFFFF" w:themeFill="background1"/>
        <w:jc w:val="both"/>
        <w:rPr>
          <w:rFonts w:ascii="Arial" w:hAnsi="Arial" w:cs="Arial"/>
          <w:sz w:val="22"/>
          <w:szCs w:val="22"/>
        </w:rPr>
      </w:pPr>
      <w:r w:rsidRPr="009C32D7">
        <w:rPr>
          <w:rFonts w:ascii="Arial" w:hAnsi="Arial" w:cs="Arial"/>
          <w:sz w:val="22"/>
          <w:szCs w:val="22"/>
        </w:rPr>
        <w:t>Que el Instituto de Seguridad y Servicios Sociales de los Trabajadores del Estado, cuenta con 24 meses contados a partir de la entrega de los bienes, para reclamar el pago a la afianzadora, por lo que de no presentarse dentro de dicho plazo operará la caducidad de la misma; o bien, de que la vigencia de la fianza deberá ser de 24 meses contados a partir de la entrega de los bienes, contados a partir del día siguiente al incumplimiento del fiado.</w:t>
      </w:r>
    </w:p>
    <w:p w:rsidR="005A56A8" w:rsidRPr="009C32D7" w:rsidRDefault="005A56A8" w:rsidP="005A56A8">
      <w:pPr>
        <w:shd w:val="clear" w:color="auto" w:fill="FFFFFF" w:themeFill="background1"/>
        <w:jc w:val="both"/>
        <w:rPr>
          <w:rFonts w:ascii="Arial" w:hAnsi="Arial" w:cs="Arial"/>
          <w:sz w:val="22"/>
          <w:szCs w:val="22"/>
        </w:rPr>
      </w:pPr>
    </w:p>
    <w:p w:rsidR="00AA2A3D" w:rsidRDefault="00650DF3"/>
    <w:sectPr w:rsidR="00AA2A3D" w:rsidSect="00FD651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egrit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5A56A8"/>
    <w:rsid w:val="005A56A8"/>
    <w:rsid w:val="00650DF3"/>
    <w:rsid w:val="00A11453"/>
    <w:rsid w:val="00FC62C4"/>
    <w:rsid w:val="00FD651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6A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A56A8"/>
    <w:pPr>
      <w:spacing w:after="120"/>
    </w:pPr>
  </w:style>
  <w:style w:type="character" w:customStyle="1" w:styleId="TextoindependienteCar">
    <w:name w:val="Texto independiente Car"/>
    <w:basedOn w:val="Fuentedeprrafopredeter"/>
    <w:link w:val="Textoindependiente"/>
    <w:rsid w:val="005A56A8"/>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3530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guadalupe.vazquezsu</dc:creator>
  <cp:keywords/>
  <dc:description/>
  <cp:lastModifiedBy>Lucía Ríos Núñez</cp:lastModifiedBy>
  <cp:revision>2</cp:revision>
  <dcterms:created xsi:type="dcterms:W3CDTF">2015-05-11T19:31:00Z</dcterms:created>
  <dcterms:modified xsi:type="dcterms:W3CDTF">2015-05-11T19:31:00Z</dcterms:modified>
</cp:coreProperties>
</file>